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70746A" w:rsidRDefault="001F758C" w:rsidP="0070746A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D71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5D2CFA">
        <w:rPr>
          <w:sz w:val="28"/>
          <w:szCs w:val="28"/>
          <w:lang w:val="ru-RU"/>
        </w:rPr>
        <w:t>31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5D2CFA">
        <w:rPr>
          <w:sz w:val="28"/>
          <w:szCs w:val="28"/>
          <w:lang w:val="ru-RU"/>
        </w:rPr>
        <w:t>жовтня</w:t>
      </w:r>
      <w:proofErr w:type="spellEnd"/>
      <w:r w:rsidR="00495DC0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5D2CFA">
        <w:rPr>
          <w:sz w:val="28"/>
          <w:szCs w:val="28"/>
          <w:lang w:val="ru-RU"/>
        </w:rPr>
        <w:t>2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Default="005D2CFA" w:rsidP="005D2CFA">
      <w:pPr>
        <w:spacing w:line="276" w:lineRule="auto"/>
        <w:ind w:firstLine="567"/>
        <w:rPr>
          <w:rStyle w:val="a7"/>
          <w:color w:val="000000" w:themeColor="text1"/>
          <w:sz w:val="28"/>
          <w:szCs w:val="28"/>
          <w:u w:val="none"/>
        </w:rPr>
      </w:pPr>
      <w:proofErr w:type="spellStart"/>
      <w:r w:rsidRPr="005D2CFA">
        <w:rPr>
          <w:rStyle w:val="a7"/>
          <w:color w:val="000000" w:themeColor="text1"/>
          <w:sz w:val="28"/>
          <w:szCs w:val="28"/>
          <w:u w:val="none"/>
        </w:rPr>
        <w:t>Операційні</w:t>
      </w:r>
      <w:proofErr w:type="spellEnd"/>
      <w:r w:rsidRPr="005D2CFA">
        <w:rPr>
          <w:rStyle w:val="a7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5D2CFA">
        <w:rPr>
          <w:rStyle w:val="a7"/>
          <w:color w:val="000000" w:themeColor="text1"/>
          <w:sz w:val="28"/>
          <w:szCs w:val="28"/>
          <w:u w:val="none"/>
        </w:rPr>
        <w:t>системи</w:t>
      </w:r>
      <w:proofErr w:type="spellEnd"/>
      <w:r w:rsidRPr="005D2CFA">
        <w:rPr>
          <w:rStyle w:val="a7"/>
          <w:color w:val="000000" w:themeColor="text1"/>
          <w:sz w:val="28"/>
          <w:szCs w:val="28"/>
          <w:u w:val="none"/>
        </w:rPr>
        <w:t xml:space="preserve"> – </w:t>
      </w:r>
      <w:proofErr w:type="spellStart"/>
      <w:r w:rsidRPr="005D2CFA">
        <w:rPr>
          <w:rStyle w:val="a7"/>
          <w:color w:val="000000" w:themeColor="text1"/>
          <w:sz w:val="28"/>
          <w:szCs w:val="28"/>
          <w:u w:val="none"/>
        </w:rPr>
        <w:t>код</w:t>
      </w:r>
      <w:proofErr w:type="spellEnd"/>
      <w:r w:rsidRPr="005D2CFA">
        <w:rPr>
          <w:rStyle w:val="a7"/>
          <w:color w:val="000000" w:themeColor="text1"/>
          <w:sz w:val="28"/>
          <w:szCs w:val="28"/>
          <w:u w:val="none"/>
        </w:rPr>
        <w:t xml:space="preserve"> ДК 021:2015 - 48620000-0 (</w:t>
      </w:r>
      <w:proofErr w:type="spellStart"/>
      <w:r w:rsidRPr="005D2CFA">
        <w:rPr>
          <w:rStyle w:val="a7"/>
          <w:color w:val="000000" w:themeColor="text1"/>
          <w:sz w:val="28"/>
          <w:szCs w:val="28"/>
          <w:u w:val="none"/>
        </w:rPr>
        <w:t>Придбання</w:t>
      </w:r>
      <w:proofErr w:type="spellEnd"/>
      <w:r w:rsidRPr="005D2CFA">
        <w:rPr>
          <w:rStyle w:val="a7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5D2CFA">
        <w:rPr>
          <w:rStyle w:val="a7"/>
          <w:color w:val="000000" w:themeColor="text1"/>
          <w:sz w:val="28"/>
          <w:szCs w:val="28"/>
          <w:u w:val="none"/>
        </w:rPr>
        <w:t>ліцензійного</w:t>
      </w:r>
      <w:proofErr w:type="spellEnd"/>
      <w:r w:rsidRPr="005D2CFA">
        <w:rPr>
          <w:rStyle w:val="a7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5D2CFA">
        <w:rPr>
          <w:rStyle w:val="a7"/>
          <w:color w:val="000000" w:themeColor="text1"/>
          <w:sz w:val="28"/>
          <w:szCs w:val="28"/>
          <w:u w:val="none"/>
        </w:rPr>
        <w:t>програмного</w:t>
      </w:r>
      <w:proofErr w:type="spellEnd"/>
      <w:r w:rsidRPr="005D2CFA">
        <w:rPr>
          <w:rStyle w:val="a7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5D2CFA">
        <w:rPr>
          <w:rStyle w:val="a7"/>
          <w:color w:val="000000" w:themeColor="text1"/>
          <w:sz w:val="28"/>
          <w:szCs w:val="28"/>
          <w:u w:val="none"/>
        </w:rPr>
        <w:t>забезпечення</w:t>
      </w:r>
      <w:proofErr w:type="spellEnd"/>
      <w:r w:rsidRPr="005D2CFA">
        <w:rPr>
          <w:rStyle w:val="a7"/>
          <w:color w:val="000000" w:themeColor="text1"/>
          <w:sz w:val="28"/>
          <w:szCs w:val="28"/>
          <w:u w:val="none"/>
        </w:rPr>
        <w:t>)</w:t>
      </w:r>
    </w:p>
    <w:p w:rsidR="005D2CFA" w:rsidRPr="005D2CFA" w:rsidRDefault="005D2CFA" w:rsidP="005D2CFA">
      <w:pPr>
        <w:spacing w:line="276" w:lineRule="auto"/>
        <w:ind w:firstLine="567"/>
        <w:rPr>
          <w:rStyle w:val="a7"/>
          <w:color w:val="000000" w:themeColor="text1"/>
          <w:sz w:val="28"/>
          <w:szCs w:val="28"/>
          <w:u w:val="none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Pr="00E1396C" w:rsidRDefault="005D2CFA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bookmarkStart w:id="0" w:name="_GoBack"/>
      <w:r w:rsidRPr="005D2CFA">
        <w:rPr>
          <w:rStyle w:val="a7"/>
          <w:color w:val="000000" w:themeColor="text1"/>
          <w:sz w:val="28"/>
          <w:szCs w:val="28"/>
          <w:u w:val="none"/>
        </w:rPr>
        <w:t>UA</w:t>
      </w:r>
      <w:r w:rsidRPr="005D2CFA">
        <w:rPr>
          <w:rStyle w:val="a7"/>
          <w:color w:val="000000" w:themeColor="text1"/>
          <w:sz w:val="28"/>
          <w:szCs w:val="28"/>
          <w:u w:val="none"/>
          <w:lang w:val="ru-RU"/>
        </w:rPr>
        <w:t>-2022-10-31-008923-</w:t>
      </w:r>
      <w:proofErr w:type="gramStart"/>
      <w:r w:rsidRPr="005D2CFA">
        <w:rPr>
          <w:rStyle w:val="a7"/>
          <w:color w:val="000000" w:themeColor="text1"/>
          <w:sz w:val="28"/>
          <w:szCs w:val="28"/>
          <w:u w:val="none"/>
        </w:rPr>
        <w:t>a</w:t>
      </w:r>
      <w:bookmarkEnd w:id="0"/>
      <w:r w:rsidR="004D3458" w:rsidRPr="001A60A1">
        <w:rPr>
          <w:rStyle w:val="mt15"/>
          <w:color w:val="000000" w:themeColor="text1"/>
          <w:sz w:val="28"/>
          <w:szCs w:val="28"/>
          <w:lang w:val="ru-RU"/>
        </w:rPr>
        <w:t xml:space="preserve"> </w:t>
      </w:r>
      <w:r w:rsidR="004D3458" w:rsidRPr="00E1396C">
        <w:rPr>
          <w:sz w:val="28"/>
          <w:szCs w:val="28"/>
          <w:lang w:val="ru-RU"/>
        </w:rPr>
        <w:t xml:space="preserve"> </w:t>
      </w:r>
      <w:r w:rsidR="004D3458" w:rsidRPr="00E1396C">
        <w:rPr>
          <w:rStyle w:val="text-info"/>
          <w:sz w:val="28"/>
          <w:szCs w:val="28"/>
          <w:lang w:val="ru-RU"/>
        </w:rPr>
        <w:t>(</w:t>
      </w:r>
      <w:proofErr w:type="spellStart"/>
      <w:proofErr w:type="gramEnd"/>
      <w:r w:rsidR="004D3458" w:rsidRPr="00E1396C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E1396C">
        <w:rPr>
          <w:rStyle w:val="text-info"/>
          <w:sz w:val="28"/>
          <w:szCs w:val="28"/>
          <w:lang w:val="ru-RU"/>
        </w:rPr>
        <w:t xml:space="preserve"> торги</w:t>
      </w:r>
      <w:r>
        <w:rPr>
          <w:rStyle w:val="text-info"/>
          <w:sz w:val="28"/>
          <w:szCs w:val="28"/>
          <w:lang w:val="ru-RU"/>
        </w:rPr>
        <w:t xml:space="preserve"> з </w:t>
      </w:r>
      <w:proofErr w:type="spellStart"/>
      <w:r>
        <w:rPr>
          <w:rStyle w:val="text-info"/>
          <w:sz w:val="28"/>
          <w:szCs w:val="28"/>
          <w:lang w:val="ru-RU"/>
        </w:rPr>
        <w:t>особливостями</w:t>
      </w:r>
      <w:proofErr w:type="spellEnd"/>
      <w:r w:rsidR="003E619E" w:rsidRPr="00E1396C">
        <w:rPr>
          <w:rStyle w:val="text-info"/>
          <w:sz w:val="28"/>
          <w:szCs w:val="28"/>
          <w:lang w:val="ru-RU"/>
        </w:rPr>
        <w:t>)</w:t>
      </w:r>
    </w:p>
    <w:p w:rsidR="001B251D" w:rsidRPr="00E1396C" w:rsidRDefault="001B251D" w:rsidP="00E1396C">
      <w:pPr>
        <w:spacing w:line="276" w:lineRule="auto"/>
        <w:ind w:right="-28"/>
        <w:jc w:val="both"/>
        <w:rPr>
          <w:rStyle w:val="a7"/>
          <w:sz w:val="28"/>
          <w:szCs w:val="28"/>
          <w:lang w:val="ru-RU"/>
        </w:rPr>
      </w:pPr>
      <w:r w:rsidRPr="00E1396C">
        <w:rPr>
          <w:sz w:val="28"/>
          <w:szCs w:val="28"/>
          <w:lang w:val="ru-RU"/>
        </w:rPr>
        <w:t xml:space="preserve">        </w:t>
      </w:r>
      <w:proofErr w:type="spellStart"/>
      <w:r w:rsidRPr="00E1396C">
        <w:rPr>
          <w:sz w:val="28"/>
          <w:szCs w:val="28"/>
          <w:lang w:val="ru-RU"/>
        </w:rPr>
        <w:t>Закупівля</w:t>
      </w:r>
      <w:proofErr w:type="spellEnd"/>
      <w:r w:rsidRPr="00E1396C">
        <w:rPr>
          <w:sz w:val="28"/>
          <w:szCs w:val="28"/>
          <w:lang w:val="ru-RU"/>
        </w:rPr>
        <w:t xml:space="preserve"> в </w:t>
      </w:r>
      <w:proofErr w:type="spellStart"/>
      <w:r w:rsidRPr="00E1396C">
        <w:rPr>
          <w:sz w:val="28"/>
          <w:szCs w:val="28"/>
          <w:lang w:val="ru-RU"/>
        </w:rPr>
        <w:t>електронній</w:t>
      </w:r>
      <w:proofErr w:type="spellEnd"/>
      <w:r w:rsidRPr="00E1396C">
        <w:rPr>
          <w:sz w:val="28"/>
          <w:szCs w:val="28"/>
          <w:lang w:val="ru-RU"/>
        </w:rPr>
        <w:t xml:space="preserve"> </w:t>
      </w:r>
      <w:proofErr w:type="spellStart"/>
      <w:r w:rsidRPr="00E1396C">
        <w:rPr>
          <w:sz w:val="28"/>
          <w:szCs w:val="28"/>
          <w:lang w:val="ru-RU"/>
        </w:rPr>
        <w:t>системі</w:t>
      </w:r>
      <w:proofErr w:type="spellEnd"/>
      <w:r w:rsidRPr="00E1396C">
        <w:rPr>
          <w:sz w:val="28"/>
          <w:szCs w:val="28"/>
          <w:lang w:val="ru-RU"/>
        </w:rPr>
        <w:t xml:space="preserve"> </w:t>
      </w:r>
      <w:proofErr w:type="spellStart"/>
      <w:r w:rsidRPr="00E1396C">
        <w:rPr>
          <w:sz w:val="28"/>
          <w:szCs w:val="28"/>
          <w:lang w:val="ru-RU"/>
        </w:rPr>
        <w:t>закупівель</w:t>
      </w:r>
      <w:proofErr w:type="spellEnd"/>
      <w:r w:rsidRPr="00E1396C">
        <w:rPr>
          <w:sz w:val="28"/>
          <w:szCs w:val="28"/>
          <w:lang w:val="ru-RU"/>
        </w:rPr>
        <w:t xml:space="preserve"> (</w:t>
      </w:r>
      <w:r w:rsidRPr="00E1396C">
        <w:rPr>
          <w:sz w:val="28"/>
          <w:szCs w:val="28"/>
        </w:rPr>
        <w:t>P</w:t>
      </w:r>
      <w:proofErr w:type="spellStart"/>
      <w:r w:rsidRPr="00E1396C">
        <w:rPr>
          <w:sz w:val="28"/>
          <w:szCs w:val="28"/>
          <w:lang w:val="ru-RU"/>
        </w:rPr>
        <w:t>rozorro</w:t>
      </w:r>
      <w:proofErr w:type="spellEnd"/>
      <w:r w:rsidRPr="00E1396C">
        <w:rPr>
          <w:sz w:val="28"/>
          <w:szCs w:val="28"/>
          <w:lang w:val="ru-RU"/>
        </w:rPr>
        <w:t xml:space="preserve">) за </w:t>
      </w:r>
      <w:proofErr w:type="spellStart"/>
      <w:r w:rsidRPr="00E1396C">
        <w:rPr>
          <w:sz w:val="28"/>
          <w:szCs w:val="28"/>
          <w:lang w:val="ru-RU"/>
        </w:rPr>
        <w:t>посиланням</w:t>
      </w:r>
      <w:proofErr w:type="spellEnd"/>
      <w:r w:rsidRPr="00E1396C">
        <w:rPr>
          <w:sz w:val="28"/>
          <w:szCs w:val="28"/>
          <w:lang w:val="ru-RU"/>
        </w:rPr>
        <w:t xml:space="preserve"> </w:t>
      </w:r>
      <w:r w:rsidR="005D2CFA" w:rsidRPr="005D2CFA">
        <w:rPr>
          <w:rStyle w:val="a7"/>
          <w:sz w:val="28"/>
          <w:szCs w:val="28"/>
        </w:rPr>
        <w:t>https</w:t>
      </w:r>
      <w:r w:rsidR="005D2CFA" w:rsidRPr="005D2CFA">
        <w:rPr>
          <w:rStyle w:val="a7"/>
          <w:sz w:val="28"/>
          <w:szCs w:val="28"/>
          <w:lang w:val="ru-RU"/>
        </w:rPr>
        <w:t>://</w:t>
      </w:r>
      <w:proofErr w:type="spellStart"/>
      <w:r w:rsidR="005D2CFA" w:rsidRPr="005D2CFA">
        <w:rPr>
          <w:rStyle w:val="a7"/>
          <w:sz w:val="28"/>
          <w:szCs w:val="28"/>
        </w:rPr>
        <w:t>prozorro</w:t>
      </w:r>
      <w:proofErr w:type="spellEnd"/>
      <w:r w:rsidR="005D2CFA" w:rsidRPr="005D2CFA">
        <w:rPr>
          <w:rStyle w:val="a7"/>
          <w:sz w:val="28"/>
          <w:szCs w:val="28"/>
          <w:lang w:val="ru-RU"/>
        </w:rPr>
        <w:t>.</w:t>
      </w:r>
      <w:proofErr w:type="spellStart"/>
      <w:r w:rsidR="005D2CFA" w:rsidRPr="005D2CFA">
        <w:rPr>
          <w:rStyle w:val="a7"/>
          <w:sz w:val="28"/>
          <w:szCs w:val="28"/>
        </w:rPr>
        <w:t>gov</w:t>
      </w:r>
      <w:proofErr w:type="spellEnd"/>
      <w:r w:rsidR="005D2CFA" w:rsidRPr="005D2CFA">
        <w:rPr>
          <w:rStyle w:val="a7"/>
          <w:sz w:val="28"/>
          <w:szCs w:val="28"/>
          <w:lang w:val="ru-RU"/>
        </w:rPr>
        <w:t>.</w:t>
      </w:r>
      <w:proofErr w:type="spellStart"/>
      <w:r w:rsidR="005D2CFA" w:rsidRPr="005D2CFA">
        <w:rPr>
          <w:rStyle w:val="a7"/>
          <w:sz w:val="28"/>
          <w:szCs w:val="28"/>
        </w:rPr>
        <w:t>ua</w:t>
      </w:r>
      <w:proofErr w:type="spellEnd"/>
      <w:r w:rsidR="005D2CFA" w:rsidRPr="005D2CFA">
        <w:rPr>
          <w:rStyle w:val="a7"/>
          <w:sz w:val="28"/>
          <w:szCs w:val="28"/>
          <w:lang w:val="ru-RU"/>
        </w:rPr>
        <w:t>/</w:t>
      </w:r>
      <w:r w:rsidR="005D2CFA" w:rsidRPr="005D2CFA">
        <w:rPr>
          <w:rStyle w:val="a7"/>
          <w:sz w:val="28"/>
          <w:szCs w:val="28"/>
        </w:rPr>
        <w:t>tender</w:t>
      </w:r>
      <w:r w:rsidR="005D2CFA" w:rsidRPr="005D2CFA">
        <w:rPr>
          <w:rStyle w:val="a7"/>
          <w:sz w:val="28"/>
          <w:szCs w:val="28"/>
          <w:lang w:val="ru-RU"/>
        </w:rPr>
        <w:t>/</w:t>
      </w:r>
      <w:r w:rsidR="005D2CFA" w:rsidRPr="005D2CFA">
        <w:rPr>
          <w:rStyle w:val="a7"/>
          <w:sz w:val="28"/>
          <w:szCs w:val="28"/>
        </w:rPr>
        <w:t>UA</w:t>
      </w:r>
      <w:r w:rsidR="005D2CFA" w:rsidRPr="005D2CFA">
        <w:rPr>
          <w:rStyle w:val="a7"/>
          <w:sz w:val="28"/>
          <w:szCs w:val="28"/>
          <w:lang w:val="ru-RU"/>
        </w:rPr>
        <w:t>-2022-10-31-008923-</w:t>
      </w:r>
      <w:r w:rsidR="005D2CFA" w:rsidRPr="005D2CFA">
        <w:rPr>
          <w:rStyle w:val="a7"/>
          <w:sz w:val="28"/>
          <w:szCs w:val="28"/>
        </w:rPr>
        <w:t>a</w:t>
      </w:r>
    </w:p>
    <w:p w:rsidR="00E1396C" w:rsidRPr="00E1396C" w:rsidRDefault="00E1396C" w:rsidP="00E1396C">
      <w:pPr>
        <w:spacing w:line="276" w:lineRule="auto"/>
        <w:ind w:right="-28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E245F0" w:rsidRDefault="00905B70" w:rsidP="001B251D">
      <w:pPr>
        <w:widowControl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05B70">
        <w:rPr>
          <w:sz w:val="28"/>
          <w:szCs w:val="28"/>
          <w:lang w:val="uk-UA"/>
        </w:rPr>
        <w:t>Технічні та якісні характеристики предмета закупівлі обумовлені необхідністю продовження терміну дії ліцензій на вже наявне у замовника програмне забезпечення, а також використання конкретних версій програмних продуктів для забезпечення сумісності з існуючим програмно-апаратним комплексом. Програмна продукція повинна бути офіційною в Україні та на неї повинна розповсюджуватися офіційна підтримка виробника, а також учасник повинен мати необхідні повноваження та рівень кваліфікації, що повинно бути підтвердженим виробником або офіційним представництвом виробника в Україні</w:t>
      </w:r>
    </w:p>
    <w:p w:rsidR="00905B70" w:rsidRPr="001B251D" w:rsidRDefault="00905B70" w:rsidP="001B251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E2F15" w:rsidRPr="005E2F15" w:rsidRDefault="005E2F15" w:rsidP="005E2F15">
      <w:pPr>
        <w:pStyle w:val="a4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5A13" w:rsidRPr="005E2F15" w:rsidRDefault="007B5A13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Default="00905B70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 w:rsidRPr="00905B70">
        <w:rPr>
          <w:rFonts w:ascii="Times New Roman" w:hAnsi="Times New Roman"/>
          <w:sz w:val="28"/>
          <w:szCs w:val="28"/>
          <w:lang w:val="uk-UA"/>
        </w:rPr>
        <w:t xml:space="preserve">Очікувана вартість визначена згідно з Примірною методикою визначення очікуваної вартості предмета закупівлі, затвердженою наказом Міністерства </w:t>
      </w:r>
      <w:r w:rsidRPr="00905B70">
        <w:rPr>
          <w:rFonts w:ascii="Times New Roman" w:hAnsi="Times New Roman"/>
          <w:sz w:val="28"/>
          <w:szCs w:val="28"/>
          <w:lang w:val="uk-UA"/>
        </w:rPr>
        <w:lastRenderedPageBreak/>
        <w:t>розвитку економіки, торгівлі та сільського господарства України від 18.02.2020 № 275 (зі змінами), на підставі комерційних пропозицій потенційних постачальників.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1EE4"/>
    <w:multiLevelType w:val="hybridMultilevel"/>
    <w:tmpl w:val="AC0E28CA"/>
    <w:lvl w:ilvl="0" w:tplc="8C367F2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D32C10"/>
    <w:multiLevelType w:val="hybridMultilevel"/>
    <w:tmpl w:val="15E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5821"/>
    <w:rsid w:val="000D1687"/>
    <w:rsid w:val="000D7149"/>
    <w:rsid w:val="000F510D"/>
    <w:rsid w:val="00106B21"/>
    <w:rsid w:val="0012070A"/>
    <w:rsid w:val="00123F54"/>
    <w:rsid w:val="001A60A1"/>
    <w:rsid w:val="001B251D"/>
    <w:rsid w:val="001C5737"/>
    <w:rsid w:val="001F758C"/>
    <w:rsid w:val="00251E62"/>
    <w:rsid w:val="00265B6E"/>
    <w:rsid w:val="00276D2C"/>
    <w:rsid w:val="002D2B8B"/>
    <w:rsid w:val="002E7999"/>
    <w:rsid w:val="002F677F"/>
    <w:rsid w:val="00310C55"/>
    <w:rsid w:val="003C1BBE"/>
    <w:rsid w:val="003D05C1"/>
    <w:rsid w:val="003E619E"/>
    <w:rsid w:val="00445FDC"/>
    <w:rsid w:val="0047215A"/>
    <w:rsid w:val="00495DC0"/>
    <w:rsid w:val="004A0520"/>
    <w:rsid w:val="004D3458"/>
    <w:rsid w:val="004D640B"/>
    <w:rsid w:val="0052373B"/>
    <w:rsid w:val="005429F5"/>
    <w:rsid w:val="005D2CFA"/>
    <w:rsid w:val="005E2F15"/>
    <w:rsid w:val="0070746A"/>
    <w:rsid w:val="0072151C"/>
    <w:rsid w:val="0074646F"/>
    <w:rsid w:val="007572D9"/>
    <w:rsid w:val="007874E0"/>
    <w:rsid w:val="00797786"/>
    <w:rsid w:val="007B5A13"/>
    <w:rsid w:val="008250D1"/>
    <w:rsid w:val="00871181"/>
    <w:rsid w:val="008F4E1A"/>
    <w:rsid w:val="009021DB"/>
    <w:rsid w:val="00905B70"/>
    <w:rsid w:val="009F757F"/>
    <w:rsid w:val="00A402F3"/>
    <w:rsid w:val="00AE2FBE"/>
    <w:rsid w:val="00AF1798"/>
    <w:rsid w:val="00B469B3"/>
    <w:rsid w:val="00B97396"/>
    <w:rsid w:val="00BA0B5A"/>
    <w:rsid w:val="00BA6E80"/>
    <w:rsid w:val="00C15269"/>
    <w:rsid w:val="00C62392"/>
    <w:rsid w:val="00C70AEC"/>
    <w:rsid w:val="00CD04A3"/>
    <w:rsid w:val="00D165FC"/>
    <w:rsid w:val="00DB02ED"/>
    <w:rsid w:val="00DF6639"/>
    <w:rsid w:val="00E1396C"/>
    <w:rsid w:val="00E245F0"/>
    <w:rsid w:val="00E24815"/>
    <w:rsid w:val="00E74214"/>
    <w:rsid w:val="00E7429D"/>
    <w:rsid w:val="00E92428"/>
    <w:rsid w:val="00E950EF"/>
    <w:rsid w:val="00F216AE"/>
    <w:rsid w:val="00F82415"/>
    <w:rsid w:val="00F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34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Буфтяк Юлія Олексіївна</cp:lastModifiedBy>
  <cp:revision>2</cp:revision>
  <dcterms:created xsi:type="dcterms:W3CDTF">2022-11-09T09:28:00Z</dcterms:created>
  <dcterms:modified xsi:type="dcterms:W3CDTF">2022-11-09T09:28:00Z</dcterms:modified>
</cp:coreProperties>
</file>